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0BB60" w14:textId="77777777" w:rsidR="005F60C5" w:rsidRDefault="005F60C5" w:rsidP="005F60C5">
      <w:pPr>
        <w:pStyle w:val="Header"/>
      </w:pPr>
      <w:r w:rsidRPr="006D6FA8">
        <w:rPr>
          <w:rFonts w:ascii="Constantia" w:hAnsi="Constantia"/>
          <w:b/>
          <w:noProof/>
          <w:color w:val="00B050"/>
          <w:sz w:val="72"/>
          <w:lang w:eastAsia="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mc:AlternateContent>
          <mc:Choice Requires="wps">
            <w:drawing>
              <wp:anchor distT="45720" distB="45720" distL="114300" distR="114300" simplePos="0" relativeHeight="251659264" behindDoc="0" locked="0" layoutInCell="1" allowOverlap="1" wp14:anchorId="4B8149D6" wp14:editId="39FA692A">
                <wp:simplePos x="0" y="0"/>
                <wp:positionH relativeFrom="column">
                  <wp:posOffset>1754505</wp:posOffset>
                </wp:positionH>
                <wp:positionV relativeFrom="paragraph">
                  <wp:posOffset>11430</wp:posOffset>
                </wp:positionV>
                <wp:extent cx="4219575" cy="676275"/>
                <wp:effectExtent l="0" t="0" r="9525"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676275"/>
                        </a:xfrm>
                        <a:prstGeom prst="rect">
                          <a:avLst/>
                        </a:prstGeom>
                        <a:solidFill>
                          <a:srgbClr val="FFFFFF"/>
                        </a:solidFill>
                        <a:ln w="9525">
                          <a:noFill/>
                          <a:miter lim="800000"/>
                          <a:headEnd/>
                          <a:tailEnd/>
                        </a:ln>
                      </wps:spPr>
                      <wps:txbx>
                        <w:txbxContent>
                          <w:p w14:paraId="55F3D7B2" w14:textId="77777777" w:rsidR="005F60C5" w:rsidRPr="00C23E21" w:rsidRDefault="005F60C5" w:rsidP="005F60C5">
                            <w:pPr>
                              <w:rPr>
                                <w:rFonts w:ascii="Palatino Linotype" w:hAnsi="Palatino Linotype"/>
                                <w:sz w:val="76"/>
                                <w:szCs w:val="76"/>
                              </w:rPr>
                            </w:pPr>
                            <w:r w:rsidRPr="00C23E21">
                              <w:rPr>
                                <w:rFonts w:ascii="Palatino Linotype" w:hAnsi="Palatino Linotype"/>
                                <w:b/>
                                <w:color w:val="00B050"/>
                                <w:sz w:val="76"/>
                                <w:szCs w:val="7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SADDLEWORTH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8149D6" id="_x0000_t202" coordsize="21600,21600" o:spt="202" path="m,l,21600r21600,l21600,xe">
                <v:stroke joinstyle="miter"/>
                <v:path gradientshapeok="t" o:connecttype="rect"/>
              </v:shapetype>
              <v:shape id="Text Box 4" o:spid="_x0000_s1026" type="#_x0000_t202" style="position:absolute;margin-left:138.15pt;margin-top:.9pt;width:332.25pt;height:5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" stroked="f">
                <v:textbox>
                  <w:txbxContent>
                    <w:p w14:paraId="55F3D7B2" w14:textId="77777777" w:rsidR="005F60C5" w:rsidRPr="00C23E21" w:rsidRDefault="005F60C5" w:rsidP="005F60C5">
                      <w:pPr>
                        <w:rPr>
                          <w:rFonts w:ascii="Palatino Linotype" w:hAnsi="Palatino Linotype"/>
                          <w:sz w:val="76"/>
                          <w:szCs w:val="76"/>
                        </w:rPr>
                      </w:pPr>
                      <w:r w:rsidRPr="00C23E21">
                        <w:rPr>
                          <w:rFonts w:ascii="Palatino Linotype" w:hAnsi="Palatino Linotype"/>
                          <w:b/>
                          <w:color w:val="00B050"/>
                          <w:sz w:val="76"/>
                          <w:szCs w:val="7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SADDLEWORTH</w:t>
                      </w:r>
                    </w:p>
                  </w:txbxContent>
                </v:textbox>
                <w10:wrap type="square"/>
              </v:shape>
            </w:pict>
          </mc:Fallback>
        </mc:AlternateContent>
      </w:r>
      <w:r w:rsidRPr="00004B64">
        <w:rPr>
          <w:rFonts w:ascii="Constantia" w:hAnsi="Constantia"/>
          <w:b/>
          <w:noProof/>
          <w:color w:val="00B050"/>
          <w:sz w:val="32"/>
          <w:lang w:eastAsia="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mc:AlternateContent>
          <mc:Choice Requires="wps">
            <w:drawing>
              <wp:anchor distT="45720" distB="45720" distL="114300" distR="114300" simplePos="0" relativeHeight="251660288" behindDoc="0" locked="0" layoutInCell="1" allowOverlap="1" wp14:anchorId="56A1429A" wp14:editId="0384FFB1">
                <wp:simplePos x="0" y="0"/>
                <wp:positionH relativeFrom="margin">
                  <wp:align>right</wp:align>
                </wp:positionH>
                <wp:positionV relativeFrom="paragraph">
                  <wp:posOffset>625475</wp:posOffset>
                </wp:positionV>
                <wp:extent cx="2190750" cy="466725"/>
                <wp:effectExtent l="0" t="0" r="0" b="952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66725"/>
                        </a:xfrm>
                        <a:prstGeom prst="rect">
                          <a:avLst/>
                        </a:prstGeom>
                        <a:solidFill>
                          <a:srgbClr val="FFFFFF"/>
                        </a:solidFill>
                        <a:ln w="9525">
                          <a:noFill/>
                          <a:miter lim="800000"/>
                          <a:headEnd/>
                          <a:tailEnd/>
                        </a:ln>
                      </wps:spPr>
                      <wps:txbx>
                        <w:txbxContent>
                          <w:p w14:paraId="443AC4C1" w14:textId="77777777" w:rsidR="005F60C5" w:rsidRPr="00C23E21" w:rsidRDefault="005F60C5" w:rsidP="005F60C5">
                            <w:pPr>
                              <w:rPr>
                                <w:rFonts w:ascii="Palatino Linotype" w:hAnsi="Palatino Linotype"/>
                                <w:color w:val="00B050"/>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3E21">
                              <w:rPr>
                                <w:rFonts w:ascii="Palatino Linotype" w:hAnsi="Palatino Linotype" w:cs="Arial"/>
                                <w:color w:val="00B05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1429A" id="Text Box 5" o:spid="_x0000_s1027" type="#_x0000_t202" style="position:absolute;margin-left:121.3pt;margin-top:49.25pt;width:172.5pt;height:36.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" stroked="f">
                <v:textbox>
                  <w:txbxContent>
                    <w:p w14:paraId="443AC4C1" w14:textId="77777777" w:rsidR="005F60C5" w:rsidRPr="00C23E21" w:rsidRDefault="005F60C5" w:rsidP="005F60C5">
                      <w:pPr>
                        <w:rPr>
                          <w:rFonts w:ascii="Palatino Linotype" w:hAnsi="Palatino Linotype"/>
                          <w:color w:val="00B050"/>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3E21">
                        <w:rPr>
                          <w:rFonts w:ascii="Palatino Linotype" w:hAnsi="Palatino Linotype" w:cs="Arial"/>
                          <w:color w:val="00B050"/>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Parish Council</w:t>
                      </w:r>
                    </w:p>
                  </w:txbxContent>
                </v:textbox>
                <w10:wrap type="square" anchorx="margin"/>
              </v:shape>
            </w:pict>
          </mc:Fallback>
        </mc:AlternateContent>
      </w:r>
      <w:r w:rsidRPr="006D6FA8">
        <w:rPr>
          <w:noProof/>
          <w:lang w:eastAsia="en-GB"/>
        </w:rPr>
        <w:drawing>
          <wp:inline distT="0" distB="0" distL="0" distR="0" wp14:anchorId="2051D270" wp14:editId="7E02E1CF">
            <wp:extent cx="1128030" cy="1181100"/>
            <wp:effectExtent l="0" t="0" r="0" b="0"/>
            <wp:docPr id="2" name="Picture 2" descr="Saddleworth-Parish-Counci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addleworth-Parish-Council-Logo.JPG"/>
                    <pic:cNvPicPr>
                      <a:picLocks noChangeAspect="1"/>
                    </pic:cNvPicPr>
                  </pic:nvPicPr>
                  <pic:blipFill>
                    <a:blip r:embed="rId11" cstate="print"/>
                    <a:stretch>
                      <a:fillRect/>
                    </a:stretch>
                  </pic:blipFill>
                  <pic:spPr>
                    <a:xfrm>
                      <a:off x="0" y="0"/>
                      <a:ext cx="1129674" cy="1182822"/>
                    </a:xfrm>
                    <a:prstGeom prst="rect">
                      <a:avLst/>
                    </a:prstGeom>
                  </pic:spPr>
                </pic:pic>
              </a:graphicData>
            </a:graphic>
          </wp:inline>
        </w:drawing>
      </w:r>
    </w:p>
    <w:p w14:paraId="646C9F34" w14:textId="77777777" w:rsidR="005F60C5" w:rsidRDefault="005F60C5" w:rsidP="005F60C5"/>
    <w:p w14:paraId="31B1544F" w14:textId="77777777" w:rsidR="005F60C5" w:rsidRDefault="005F60C5" w:rsidP="005F60C5"/>
    <w:p w14:paraId="22862B4D" w14:textId="4AF86A35" w:rsidR="005F60C5" w:rsidRPr="005F60C5" w:rsidRDefault="005F60C5" w:rsidP="005F60C5">
      <w:pPr>
        <w:jc w:val="center"/>
        <w:rPr>
          <w:u w:val="single"/>
        </w:rPr>
      </w:pPr>
      <w:r w:rsidRPr="005F60C5">
        <w:rPr>
          <w:u w:val="single"/>
        </w:rPr>
        <w:t>Saddleworth Parish Council Investment Strategy</w:t>
      </w:r>
      <w:r w:rsidR="003E27B1">
        <w:rPr>
          <w:u w:val="single"/>
        </w:rPr>
        <w:tab/>
      </w:r>
    </w:p>
    <w:p w14:paraId="4E1BCAE4" w14:textId="77777777" w:rsidR="005F60C5" w:rsidRDefault="005F60C5" w:rsidP="005F60C5"/>
    <w:p w14:paraId="72561929" w14:textId="1037F76D" w:rsidR="005F60C5" w:rsidRDefault="005F60C5" w:rsidP="005F60C5">
      <w:r>
        <w:t>INTRODUCTION</w:t>
      </w:r>
    </w:p>
    <w:p w14:paraId="0AC8120D" w14:textId="37EA4F08" w:rsidR="005F60C5" w:rsidRDefault="005F60C5" w:rsidP="005F60C5">
      <w:r>
        <w:t>Saddleworth Parish Council acknowledges the importance of prudently investing</w:t>
      </w:r>
      <w:r w:rsidR="00A276A5">
        <w:t xml:space="preserve"> temporarily available or longer term earmarked and surplus funds on behalf of the community and providing residents </w:t>
      </w:r>
      <w:r w:rsidR="00CE651A">
        <w:t xml:space="preserve">with investment and strategy details adhering to transparency and democratic accountability requirements. </w:t>
      </w:r>
    </w:p>
    <w:p w14:paraId="3D457528" w14:textId="757FBF20" w:rsidR="00CF50B3" w:rsidRDefault="00CF50B3" w:rsidP="005F60C5">
      <w:r w:rsidRPr="00CF50B3">
        <w:t xml:space="preserve">This strategy complies with the revised requirements set out in the Office of the Deputy Prime Minister’s Guide on Local Government Investments and ‘Chartered Institute of Public Finance and Accountancy’s Treasury Management in Public Services: Code of Practice and Cross Sectoral Guidance Notes and takes account of the Section 15(1)(a) of the Local Government Act 2003. </w:t>
      </w:r>
    </w:p>
    <w:p w14:paraId="5BC172E4" w14:textId="1F968831" w:rsidR="005F60C5" w:rsidRDefault="005F60C5" w:rsidP="005F60C5">
      <w:r>
        <w:t>INVESTMENT OBJECTIVES</w:t>
      </w:r>
    </w:p>
    <w:p w14:paraId="4B2EFF39" w14:textId="5349B27C" w:rsidR="00E732A0" w:rsidRDefault="00E732A0" w:rsidP="00E732A0">
      <w:r>
        <w:t>Where a Parish Council expects its investments at any time during a financial year to exceed £10,000 but not £500,00</w:t>
      </w:r>
      <w:r w:rsidR="00B86235">
        <w:t>0</w:t>
      </w:r>
      <w:r w:rsidR="00926AEC">
        <w:t xml:space="preserve">, </w:t>
      </w:r>
      <w:r>
        <w:t>it should decide on the extent, if any, to which it would be reasonable to have regard to the Guidance in relation to that year.</w:t>
      </w:r>
    </w:p>
    <w:p w14:paraId="6501FF27" w14:textId="77777777" w:rsidR="00E732A0" w:rsidRDefault="00E732A0" w:rsidP="00E732A0">
      <w:r>
        <w:t>Saddleworth Parish Council expects its investments during 2025-26 financial year to exceed £10,000 but not £500,000 and has agreed to apply the Guidance as set out below:</w:t>
      </w:r>
    </w:p>
    <w:p w14:paraId="61AE32F8" w14:textId="78819DFA" w:rsidR="005F60C5" w:rsidRDefault="005F60C5" w:rsidP="005F60C5">
      <w:r>
        <w:t>The Parish Council’s priorities are:</w:t>
      </w:r>
    </w:p>
    <w:p w14:paraId="72E64888" w14:textId="77777777" w:rsidR="005F60C5" w:rsidRDefault="005F60C5" w:rsidP="005F60C5">
      <w:r>
        <w:t>1.   The security of its reserves.</w:t>
      </w:r>
    </w:p>
    <w:p w14:paraId="07796D97" w14:textId="77777777" w:rsidR="005F60C5" w:rsidRDefault="005F60C5" w:rsidP="005F60C5">
      <w:r>
        <w:t>2.   The liquidity of its investments; and</w:t>
      </w:r>
    </w:p>
    <w:p w14:paraId="586DE7C9" w14:textId="77777777" w:rsidR="005F60C5" w:rsidRDefault="005F60C5" w:rsidP="005F60C5">
      <w:r>
        <w:t>3.   Return on investments.</w:t>
      </w:r>
    </w:p>
    <w:p w14:paraId="0B61F120" w14:textId="77777777" w:rsidR="005F60C5" w:rsidRDefault="005F60C5" w:rsidP="005F60C5"/>
    <w:p w14:paraId="16BD1742" w14:textId="55F895AB" w:rsidR="005F60C5" w:rsidRDefault="005F60C5" w:rsidP="005F60C5">
      <w:r>
        <w:t>The Parish Council will aim to achieve the optimum return on its investments commensurate with levels of security and liquidity.</w:t>
      </w:r>
    </w:p>
    <w:p w14:paraId="6CA1C19E" w14:textId="3C9291F8" w:rsidR="005F60C5" w:rsidRDefault="005F60C5" w:rsidP="005F60C5">
      <w:r>
        <w:t>All investments will be made in sterling and, as a minimum, surplus funds will be in an interest-bearing bank account.</w:t>
      </w:r>
    </w:p>
    <w:p w14:paraId="148DBA1F" w14:textId="77777777" w:rsidR="005F60C5" w:rsidRDefault="005F60C5" w:rsidP="005F60C5">
      <w:r>
        <w:t>The Department for Communities and Local Government maintains that borrowing of monies purely to invest or to lend and make a return, is unlawful and this Parish Council will not engage in such activity.</w:t>
      </w:r>
    </w:p>
    <w:p w14:paraId="1C29E425" w14:textId="77777777" w:rsidR="005F60C5" w:rsidRDefault="005F60C5" w:rsidP="005F60C5"/>
    <w:p w14:paraId="2BA729B8" w14:textId="77777777" w:rsidR="00F14A21" w:rsidRDefault="00F14A21" w:rsidP="005F60C5"/>
    <w:p w14:paraId="0E2231B7" w14:textId="77777777" w:rsidR="005F60C5" w:rsidRDefault="005F60C5" w:rsidP="005F60C5">
      <w:r>
        <w:lastRenderedPageBreak/>
        <w:t>SECURITY OF INVESTMENTS</w:t>
      </w:r>
    </w:p>
    <w:p w14:paraId="22D4F587" w14:textId="5DF6B08E" w:rsidR="005F60C5" w:rsidRDefault="005F60C5" w:rsidP="005F60C5">
      <w:r>
        <w:t>For the prudent management of its treasury balances, maintaining sufficient levels of security and liquidity, the Parish Council will use:</w:t>
      </w:r>
    </w:p>
    <w:p w14:paraId="4CE91A2C" w14:textId="47DDD855" w:rsidR="00E32D01" w:rsidRDefault="005F60C5" w:rsidP="00E32D01">
      <w:pPr>
        <w:pStyle w:val="ListParagraph"/>
        <w:numPr>
          <w:ilvl w:val="0"/>
          <w:numId w:val="2"/>
        </w:numPr>
      </w:pPr>
      <w:r>
        <w:t>UK banks and UK building societies</w:t>
      </w:r>
    </w:p>
    <w:p w14:paraId="3BB3771C" w14:textId="2E1D433E" w:rsidR="005F60C5" w:rsidRDefault="00E32D01" w:rsidP="005F60C5">
      <w:pPr>
        <w:pStyle w:val="ListParagraph"/>
        <w:numPr>
          <w:ilvl w:val="0"/>
          <w:numId w:val="2"/>
        </w:numPr>
      </w:pPr>
      <w:r>
        <w:t>Local authorities and other public authorities</w:t>
      </w:r>
    </w:p>
    <w:p w14:paraId="6EED50AD" w14:textId="10911699" w:rsidR="005F60C5" w:rsidRDefault="00781E80" w:rsidP="005F60C5">
      <w:r>
        <w:t>The</w:t>
      </w:r>
      <w:r w:rsidR="005F60C5">
        <w:t xml:space="preserve"> Parish Council </w:t>
      </w:r>
      <w:r>
        <w:t>holds</w:t>
      </w:r>
      <w:r w:rsidR="005F60C5">
        <w:t xml:space="preserve"> its money in a</w:t>
      </w:r>
      <w:r w:rsidR="002D245B">
        <w:t xml:space="preserve"> Natwest Current Account</w:t>
      </w:r>
      <w:r w:rsidR="005F60C5">
        <w:t>, which is covered by the Financial Services Compensation Scheme (FSCS). The FSCS can pay compensation to depositors if a bank is unable to meet its financial obligations. In respect of depositors, and eligible depositor is entitled to claim up to £</w:t>
      </w:r>
      <w:r w:rsidR="00C571EA">
        <w:t xml:space="preserve">120,000 (from 1/12/25). </w:t>
      </w:r>
      <w:r w:rsidR="005F60C5">
        <w:t xml:space="preserve"> As the Parish Council</w:t>
      </w:r>
      <w:r w:rsidR="00C571EA">
        <w:t xml:space="preserve">’s current </w:t>
      </w:r>
      <w:r w:rsidR="00441454">
        <w:t>balance</w:t>
      </w:r>
      <w:r w:rsidR="005F60C5">
        <w:t xml:space="preserve"> </w:t>
      </w:r>
      <w:r w:rsidR="00441454">
        <w:t>is maintained at £10,000</w:t>
      </w:r>
      <w:r w:rsidR="00C11BF9">
        <w:t>, it has adequate cover b</w:t>
      </w:r>
      <w:r w:rsidR="005F60C5">
        <w:t>y the FSCS.</w:t>
      </w:r>
    </w:p>
    <w:p w14:paraId="2F7CEF8F" w14:textId="63573A79" w:rsidR="00F54D8F" w:rsidRDefault="00F54D8F" w:rsidP="00F54D8F">
      <w:r>
        <w:t xml:space="preserve">The funds invested </w:t>
      </w:r>
      <w:r w:rsidR="0091632E">
        <w:t>in the</w:t>
      </w:r>
      <w:r w:rsidR="002D04DF">
        <w:rPr>
          <w:color w:val="EE0000"/>
        </w:rPr>
        <w:t xml:space="preserve"> </w:t>
      </w:r>
      <w:r w:rsidR="002D04DF" w:rsidRPr="00CC16E5">
        <w:t>Natwest</w:t>
      </w:r>
      <w:r w:rsidR="00CC16E5">
        <w:t xml:space="preserve"> </w:t>
      </w:r>
      <w:r w:rsidR="00140A2A">
        <w:t>Business Reserve</w:t>
      </w:r>
      <w:r w:rsidR="00397D51">
        <w:t xml:space="preserve"> </w:t>
      </w:r>
      <w:r w:rsidR="00140A2A">
        <w:t>account</w:t>
      </w:r>
      <w:r w:rsidR="002D04DF" w:rsidRPr="00CC16E5">
        <w:t xml:space="preserve"> </w:t>
      </w:r>
      <w:r w:rsidRPr="00CC16E5">
        <w:t xml:space="preserve">are </w:t>
      </w:r>
      <w:r>
        <w:t xml:space="preserve">from unallocated reserves which may be used to support the budget/precept in the future and are instant access to ensure liquidity. </w:t>
      </w:r>
    </w:p>
    <w:p w14:paraId="1F2AA5AD" w14:textId="08AD3C3D" w:rsidR="001862B4" w:rsidRDefault="001862B4" w:rsidP="001862B4">
      <w:r>
        <w:t>Saddleworth Parish Council will regularly review its bank accounts to a</w:t>
      </w:r>
      <w:r w:rsidR="006F1DBF">
        <w:t>chieve a</w:t>
      </w:r>
      <w:r>
        <w:t xml:space="preserve"> return on investment that ensures proper levels of security and liquidity. Any decisions on transferring funds to a second bank account will be reviewed by the finance committee.</w:t>
      </w:r>
    </w:p>
    <w:p w14:paraId="72E05397" w14:textId="61B60773" w:rsidR="007D5F41" w:rsidRPr="0069111A" w:rsidRDefault="005028CF" w:rsidP="005028CF">
      <w:pPr>
        <w:rPr>
          <w:i/>
          <w:iCs/>
        </w:rPr>
      </w:pPr>
      <w:r w:rsidRPr="0069111A">
        <w:rPr>
          <w:rStyle w:val="FootnoteReference"/>
          <w:i/>
          <w:iCs/>
        </w:rPr>
        <w:footnoteReference w:id="1"/>
      </w:r>
      <w:r w:rsidR="007D5F41" w:rsidRPr="0069111A">
        <w:rPr>
          <w:i/>
          <w:iCs/>
        </w:rPr>
        <w:t xml:space="preserve">Options for another investment account achieving a better return on the investment while ensuring proper levels of security and liquidity will be sought once we switch bank provider in the near future.  </w:t>
      </w:r>
    </w:p>
    <w:p w14:paraId="213CDF15" w14:textId="77777777" w:rsidR="005F60C5" w:rsidRDefault="005F60C5" w:rsidP="005F60C5"/>
    <w:p w14:paraId="353A40B0" w14:textId="6C0528DC" w:rsidR="005F60C5" w:rsidRDefault="005F60C5" w:rsidP="005F60C5">
      <w:r>
        <w:t>LIQUIDITY OF INVESTMENTS</w:t>
      </w:r>
    </w:p>
    <w:p w14:paraId="16D06DA4" w14:textId="7E2EE976" w:rsidR="005F60C5" w:rsidRDefault="005F60C5" w:rsidP="005F60C5">
      <w:r>
        <w:t xml:space="preserve">The RFO </w:t>
      </w:r>
      <w:r w:rsidR="009821B7">
        <w:t xml:space="preserve">in consultation with the Finance Committee </w:t>
      </w:r>
      <w:r>
        <w:t>will determine the maximum period for which funds may prudently be invested, to not compromise liquidity.</w:t>
      </w:r>
      <w:r w:rsidR="009821B7">
        <w:t xml:space="preserve"> </w:t>
      </w:r>
    </w:p>
    <w:p w14:paraId="5BACC4C0" w14:textId="77777777" w:rsidR="0091632E" w:rsidRDefault="0091632E" w:rsidP="005F60C5"/>
    <w:p w14:paraId="441D53A4" w14:textId="1CFD7543" w:rsidR="005F60C5" w:rsidRDefault="005F60C5" w:rsidP="005F60C5">
      <w:r>
        <w:t>REVIEW AND AMENDMENT OF REGULATIONS</w:t>
      </w:r>
    </w:p>
    <w:p w14:paraId="11567F65" w14:textId="50A4BC9B" w:rsidR="005F60C5" w:rsidRDefault="005F60C5" w:rsidP="005F60C5">
      <w:r>
        <w:t>The Investment Strategy will be reviewed annually</w:t>
      </w:r>
      <w:r w:rsidR="007D1540">
        <w:t>, i</w:t>
      </w:r>
      <w:r w:rsidR="002953D6">
        <w:t xml:space="preserve">n conjunction with the Finance Committee. </w:t>
      </w:r>
      <w:r w:rsidR="00B379C9">
        <w:t xml:space="preserve">Any changes to the strategy must be formally </w:t>
      </w:r>
      <w:r>
        <w:t>approved by the full Council.</w:t>
      </w:r>
    </w:p>
    <w:p w14:paraId="3E6203A8" w14:textId="77777777" w:rsidR="005F60C5" w:rsidRDefault="005F60C5" w:rsidP="005F60C5">
      <w:r>
        <w:t>The Parish Council reserves the right to make variations to the Strategy at any time, subject to the approval of the full Council. Any variations will be made available to the public.</w:t>
      </w:r>
    </w:p>
    <w:p w14:paraId="51332630" w14:textId="77777777" w:rsidR="005F60C5" w:rsidRDefault="005F60C5" w:rsidP="005F60C5"/>
    <w:p w14:paraId="48ED8DD4" w14:textId="02798B99" w:rsidR="005F60C5" w:rsidRDefault="005F60C5" w:rsidP="005F60C5">
      <w:r>
        <w:t>FREEDOM OF INFORMATION</w:t>
      </w:r>
    </w:p>
    <w:p w14:paraId="5C66CF76" w14:textId="77777777" w:rsidR="005F60C5" w:rsidRDefault="005F60C5" w:rsidP="005F60C5">
      <w:r>
        <w:t>In accordance with the Freedom of Information Act 2000, this Document will be posted on the Parish website and a hard copy will be available from the Parish Clerk.</w:t>
      </w:r>
    </w:p>
    <w:p w14:paraId="6F31CCB6" w14:textId="77777777" w:rsidR="005F60C5" w:rsidRDefault="005F60C5" w:rsidP="005F60C5"/>
    <w:p w14:paraId="148F4823" w14:textId="045655F7" w:rsidR="00902BC7" w:rsidRDefault="003E27B1" w:rsidP="005F60C5">
      <w:r>
        <w:t xml:space="preserve">To be </w:t>
      </w:r>
      <w:r w:rsidR="00E531E8">
        <w:t>adopted January 26</w:t>
      </w:r>
    </w:p>
    <w:p w14:paraId="427115D7" w14:textId="77777777" w:rsidR="00902BC7" w:rsidRDefault="00902BC7" w:rsidP="005F60C5"/>
    <w:sectPr w:rsidR="00902BC7" w:rsidSect="005F60C5">
      <w:pgSz w:w="11906" w:h="16838"/>
      <w:pgMar w:top="1134"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C9E40" w14:textId="77777777" w:rsidR="00B509BC" w:rsidRDefault="00B509BC" w:rsidP="006E3FD0">
      <w:pPr>
        <w:spacing w:after="0" w:line="240" w:lineRule="auto"/>
      </w:pPr>
      <w:r>
        <w:separator/>
      </w:r>
    </w:p>
  </w:endnote>
  <w:endnote w:type="continuationSeparator" w:id="0">
    <w:p w14:paraId="277F43F6" w14:textId="77777777" w:rsidR="00B509BC" w:rsidRDefault="00B509BC" w:rsidP="006E3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995CE" w14:textId="77777777" w:rsidR="00B509BC" w:rsidRDefault="00B509BC" w:rsidP="006E3FD0">
      <w:pPr>
        <w:spacing w:after="0" w:line="240" w:lineRule="auto"/>
      </w:pPr>
      <w:r>
        <w:separator/>
      </w:r>
    </w:p>
  </w:footnote>
  <w:footnote w:type="continuationSeparator" w:id="0">
    <w:p w14:paraId="7C35D5CA" w14:textId="77777777" w:rsidR="00B509BC" w:rsidRDefault="00B509BC" w:rsidP="006E3FD0">
      <w:pPr>
        <w:spacing w:after="0" w:line="240" w:lineRule="auto"/>
      </w:pPr>
      <w:r>
        <w:continuationSeparator/>
      </w:r>
    </w:p>
  </w:footnote>
  <w:footnote w:id="1">
    <w:p w14:paraId="70B901EE" w14:textId="525437F6" w:rsidR="005028CF" w:rsidRDefault="005028C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3617"/>
    <w:multiLevelType w:val="hybridMultilevel"/>
    <w:tmpl w:val="92DA5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4A1518"/>
    <w:multiLevelType w:val="hybridMultilevel"/>
    <w:tmpl w:val="FE909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1060019">
    <w:abstractNumId w:val="0"/>
  </w:num>
  <w:num w:numId="2" w16cid:durableId="839386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0C5"/>
    <w:rsid w:val="00085CB0"/>
    <w:rsid w:val="00140A2A"/>
    <w:rsid w:val="001862B4"/>
    <w:rsid w:val="00191F2D"/>
    <w:rsid w:val="0021553F"/>
    <w:rsid w:val="002377B5"/>
    <w:rsid w:val="00272AA0"/>
    <w:rsid w:val="002953D6"/>
    <w:rsid w:val="002D04DF"/>
    <w:rsid w:val="002D245B"/>
    <w:rsid w:val="00397D51"/>
    <w:rsid w:val="003E27B1"/>
    <w:rsid w:val="00441454"/>
    <w:rsid w:val="004E7614"/>
    <w:rsid w:val="005028CF"/>
    <w:rsid w:val="00513271"/>
    <w:rsid w:val="005F60C5"/>
    <w:rsid w:val="00625159"/>
    <w:rsid w:val="00680A0D"/>
    <w:rsid w:val="0069024A"/>
    <w:rsid w:val="0069111A"/>
    <w:rsid w:val="006E3FD0"/>
    <w:rsid w:val="006F1DBF"/>
    <w:rsid w:val="00715CBE"/>
    <w:rsid w:val="0074154C"/>
    <w:rsid w:val="00781E80"/>
    <w:rsid w:val="007D1540"/>
    <w:rsid w:val="007D5F41"/>
    <w:rsid w:val="008565B3"/>
    <w:rsid w:val="00856AF9"/>
    <w:rsid w:val="00902BC7"/>
    <w:rsid w:val="00907742"/>
    <w:rsid w:val="0091632E"/>
    <w:rsid w:val="0092600D"/>
    <w:rsid w:val="00926AEC"/>
    <w:rsid w:val="009821B7"/>
    <w:rsid w:val="009F00C5"/>
    <w:rsid w:val="00A0117E"/>
    <w:rsid w:val="00A276A5"/>
    <w:rsid w:val="00A32A07"/>
    <w:rsid w:val="00B002BF"/>
    <w:rsid w:val="00B379C9"/>
    <w:rsid w:val="00B509BC"/>
    <w:rsid w:val="00B86235"/>
    <w:rsid w:val="00C02796"/>
    <w:rsid w:val="00C11BF9"/>
    <w:rsid w:val="00C5029F"/>
    <w:rsid w:val="00C571EA"/>
    <w:rsid w:val="00CA43EB"/>
    <w:rsid w:val="00CC16E5"/>
    <w:rsid w:val="00CE651A"/>
    <w:rsid w:val="00CF50B3"/>
    <w:rsid w:val="00E32D01"/>
    <w:rsid w:val="00E3320F"/>
    <w:rsid w:val="00E517FB"/>
    <w:rsid w:val="00E531E8"/>
    <w:rsid w:val="00E732A0"/>
    <w:rsid w:val="00EC2EFF"/>
    <w:rsid w:val="00ED5612"/>
    <w:rsid w:val="00EE257F"/>
    <w:rsid w:val="00F14A21"/>
    <w:rsid w:val="00F54D8F"/>
    <w:rsid w:val="00F71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33116"/>
  <w15:chartTrackingRefBased/>
  <w15:docId w15:val="{0F9451DD-E310-46B0-9462-901450C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0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60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60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60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60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60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0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0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0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0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60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60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60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60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60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0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0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0C5"/>
    <w:rPr>
      <w:rFonts w:eastAsiaTheme="majorEastAsia" w:cstheme="majorBidi"/>
      <w:color w:val="272727" w:themeColor="text1" w:themeTint="D8"/>
    </w:rPr>
  </w:style>
  <w:style w:type="paragraph" w:styleId="Title">
    <w:name w:val="Title"/>
    <w:basedOn w:val="Normal"/>
    <w:next w:val="Normal"/>
    <w:link w:val="TitleChar"/>
    <w:uiPriority w:val="10"/>
    <w:qFormat/>
    <w:rsid w:val="005F6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0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0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0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0C5"/>
    <w:pPr>
      <w:spacing w:before="160"/>
      <w:jc w:val="center"/>
    </w:pPr>
    <w:rPr>
      <w:i/>
      <w:iCs/>
      <w:color w:val="404040" w:themeColor="text1" w:themeTint="BF"/>
    </w:rPr>
  </w:style>
  <w:style w:type="character" w:customStyle="1" w:styleId="QuoteChar">
    <w:name w:val="Quote Char"/>
    <w:basedOn w:val="DefaultParagraphFont"/>
    <w:link w:val="Quote"/>
    <w:uiPriority w:val="29"/>
    <w:rsid w:val="005F60C5"/>
    <w:rPr>
      <w:i/>
      <w:iCs/>
      <w:color w:val="404040" w:themeColor="text1" w:themeTint="BF"/>
    </w:rPr>
  </w:style>
  <w:style w:type="paragraph" w:styleId="ListParagraph">
    <w:name w:val="List Paragraph"/>
    <w:basedOn w:val="Normal"/>
    <w:uiPriority w:val="34"/>
    <w:qFormat/>
    <w:rsid w:val="005F60C5"/>
    <w:pPr>
      <w:ind w:left="720"/>
      <w:contextualSpacing/>
    </w:pPr>
  </w:style>
  <w:style w:type="character" w:styleId="IntenseEmphasis">
    <w:name w:val="Intense Emphasis"/>
    <w:basedOn w:val="DefaultParagraphFont"/>
    <w:uiPriority w:val="21"/>
    <w:qFormat/>
    <w:rsid w:val="005F60C5"/>
    <w:rPr>
      <w:i/>
      <w:iCs/>
      <w:color w:val="2F5496" w:themeColor="accent1" w:themeShade="BF"/>
    </w:rPr>
  </w:style>
  <w:style w:type="paragraph" w:styleId="IntenseQuote">
    <w:name w:val="Intense Quote"/>
    <w:basedOn w:val="Normal"/>
    <w:next w:val="Normal"/>
    <w:link w:val="IntenseQuoteChar"/>
    <w:uiPriority w:val="30"/>
    <w:qFormat/>
    <w:rsid w:val="005F60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60C5"/>
    <w:rPr>
      <w:i/>
      <w:iCs/>
      <w:color w:val="2F5496" w:themeColor="accent1" w:themeShade="BF"/>
    </w:rPr>
  </w:style>
  <w:style w:type="character" w:styleId="IntenseReference">
    <w:name w:val="Intense Reference"/>
    <w:basedOn w:val="DefaultParagraphFont"/>
    <w:uiPriority w:val="32"/>
    <w:qFormat/>
    <w:rsid w:val="005F60C5"/>
    <w:rPr>
      <w:b/>
      <w:bCs/>
      <w:smallCaps/>
      <w:color w:val="2F5496" w:themeColor="accent1" w:themeShade="BF"/>
      <w:spacing w:val="5"/>
    </w:rPr>
  </w:style>
  <w:style w:type="paragraph" w:styleId="Header">
    <w:name w:val="header"/>
    <w:basedOn w:val="Normal"/>
    <w:link w:val="HeaderChar"/>
    <w:uiPriority w:val="99"/>
    <w:unhideWhenUsed/>
    <w:rsid w:val="005F60C5"/>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5F60C5"/>
    <w:rPr>
      <w:kern w:val="0"/>
      <w14:ligatures w14:val="none"/>
    </w:rPr>
  </w:style>
  <w:style w:type="paragraph" w:styleId="EndnoteText">
    <w:name w:val="endnote text"/>
    <w:basedOn w:val="Normal"/>
    <w:link w:val="EndnoteTextChar"/>
    <w:uiPriority w:val="99"/>
    <w:semiHidden/>
    <w:unhideWhenUsed/>
    <w:rsid w:val="006E3F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3FD0"/>
    <w:rPr>
      <w:sz w:val="20"/>
      <w:szCs w:val="20"/>
    </w:rPr>
  </w:style>
  <w:style w:type="character" w:styleId="EndnoteReference">
    <w:name w:val="endnote reference"/>
    <w:basedOn w:val="DefaultParagraphFont"/>
    <w:uiPriority w:val="99"/>
    <w:semiHidden/>
    <w:unhideWhenUsed/>
    <w:rsid w:val="006E3FD0"/>
    <w:rPr>
      <w:vertAlign w:val="superscript"/>
    </w:rPr>
  </w:style>
  <w:style w:type="paragraph" w:styleId="FootnoteText">
    <w:name w:val="footnote text"/>
    <w:basedOn w:val="Normal"/>
    <w:link w:val="FootnoteTextChar"/>
    <w:uiPriority w:val="99"/>
    <w:semiHidden/>
    <w:unhideWhenUsed/>
    <w:rsid w:val="00502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28CF"/>
    <w:rPr>
      <w:sz w:val="20"/>
      <w:szCs w:val="20"/>
    </w:rPr>
  </w:style>
  <w:style w:type="character" w:styleId="FootnoteReference">
    <w:name w:val="footnote reference"/>
    <w:basedOn w:val="DefaultParagraphFont"/>
    <w:uiPriority w:val="99"/>
    <w:semiHidden/>
    <w:unhideWhenUsed/>
    <w:rsid w:val="005028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66D2DE09E98B4F9C7AFED5DF161F54" ma:contentTypeVersion="14" ma:contentTypeDescription="Create a new document." ma:contentTypeScope="" ma:versionID="ebd10596849f5471a0016e8a8ecc0a23">
  <xsd:schema xmlns:xsd="http://www.w3.org/2001/XMLSchema" xmlns:xs="http://www.w3.org/2001/XMLSchema" xmlns:p="http://schemas.microsoft.com/office/2006/metadata/properties" xmlns:ns2="497c7ef3-be23-4e63-9be8-425ad1a98dae" xmlns:ns3="f1022f49-f7fb-449d-bba2-3000c0a0072e" targetNamespace="http://schemas.microsoft.com/office/2006/metadata/properties" ma:root="true" ma:fieldsID="bbeb93ef8e91db993591bc5a17645103" ns2:_="" ns3:_="">
    <xsd:import namespace="497c7ef3-be23-4e63-9be8-425ad1a98dae"/>
    <xsd:import namespace="f1022f49-f7fb-449d-bba2-3000c0a00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c7ef3-be23-4e63-9be8-425ad1a98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e8af8e-dc2d-40af-85b0-2566123b1ed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22f49-f7fb-449d-bba2-3000c0a007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6e4119-8048-4e7f-939f-4b439e691e0b}" ma:internalName="TaxCatchAll" ma:showField="CatchAllData" ma:web="f1022f49-f7fb-449d-bba2-3000c0a00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7c7ef3-be23-4e63-9be8-425ad1a98dae">
      <Terms xmlns="http://schemas.microsoft.com/office/infopath/2007/PartnerControls"/>
    </lcf76f155ced4ddcb4097134ff3c332f>
    <TaxCatchAll xmlns="f1022f49-f7fb-449d-bba2-3000c0a0072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4DF4B-97CD-4589-A7A1-A58DC95AF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c7ef3-be23-4e63-9be8-425ad1a98dae"/>
    <ds:schemaRef ds:uri="f1022f49-f7fb-449d-bba2-3000c0a00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C14C1-F1CF-4E9F-B2CE-9C2C285FB966}">
  <ds:schemaRefs>
    <ds:schemaRef ds:uri="http://schemas.microsoft.com/sharepoint/v3/contenttype/forms"/>
  </ds:schemaRefs>
</ds:datastoreItem>
</file>

<file path=customXml/itemProps3.xml><?xml version="1.0" encoding="utf-8"?>
<ds:datastoreItem xmlns:ds="http://schemas.openxmlformats.org/officeDocument/2006/customXml" ds:itemID="{AE995C58-8FA1-4413-84E5-451EE6677EED}">
  <ds:schemaRefs>
    <ds:schemaRef ds:uri="http://schemas.microsoft.com/office/2006/metadata/properties"/>
    <ds:schemaRef ds:uri="http://schemas.microsoft.com/office/infopath/2007/PartnerControls"/>
    <ds:schemaRef ds:uri="497c7ef3-be23-4e63-9be8-425ad1a98dae"/>
    <ds:schemaRef ds:uri="f1022f49-f7fb-449d-bba2-3000c0a0072e"/>
  </ds:schemaRefs>
</ds:datastoreItem>
</file>

<file path=customXml/itemProps4.xml><?xml version="1.0" encoding="utf-8"?>
<ds:datastoreItem xmlns:ds="http://schemas.openxmlformats.org/officeDocument/2006/customXml" ds:itemID="{702C1148-C365-4D1E-9521-33B40684D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Allott</dc:creator>
  <cp:keywords/>
  <dc:description/>
  <cp:lastModifiedBy>Karen Allott</cp:lastModifiedBy>
  <cp:revision>55</cp:revision>
  <dcterms:created xsi:type="dcterms:W3CDTF">2025-08-29T12:23:00Z</dcterms:created>
  <dcterms:modified xsi:type="dcterms:W3CDTF">2025-11-27T09:59:00Z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0x0101009F66D2DE09E98B4F9C7AFED5DF161F54</vt:lpwstr>
  </property>
  <property fmtid="{D5CDD505-2E9C-101B-9397-08002B2CF9AE}" pid="3" name="MediaServiceImageTags">
    <vt:lpwstr/>
  </property>
</Properties>
</file>